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2A3CC2">
        <w:trPr>
          <w:trHeight w:hRule="exact" w:val="1998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38.04.02 Менеджмент (высшее образование - магистратура), Направленность (профиль) программы «Риск-менеджмент, стратегическое и тактическое планирование организации»,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2A3CC2" w:rsidRDefault="002A3CC2">
            <w:pPr>
              <w:spacing w:after="0" w:line="240" w:lineRule="auto"/>
              <w:jc w:val="both"/>
            </w:pPr>
          </w:p>
          <w:p w:rsidR="002A3CC2" w:rsidRDefault="00672B6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3CC2">
        <w:trPr>
          <w:trHeight w:hRule="exact" w:val="138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A3CC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2A3CC2">
        <w:trPr>
          <w:trHeight w:hRule="exact" w:val="277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277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A3CC2">
        <w:trPr>
          <w:trHeight w:hRule="exact" w:val="972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A3CC2" w:rsidRDefault="002A3C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A3CC2">
        <w:trPr>
          <w:trHeight w:hRule="exact" w:val="277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A3CC2">
        <w:trPr>
          <w:trHeight w:hRule="exact" w:val="277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A3CC2">
        <w:trPr>
          <w:trHeight w:hRule="exact" w:val="1135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Интегрированный риск- менеджмент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2A3CC2">
        <w:trPr>
          <w:trHeight w:hRule="exact" w:val="1125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38.04.02 Менеджмент (высшее образование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«Риск-менеджмент, стратегическое и тактическое планирование организации»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A3CC2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08.ФИНАНСЫ И ЭКОНОМИКА.</w:t>
            </w:r>
          </w:p>
        </w:tc>
      </w:tr>
      <w:tr w:rsidR="002A3CC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155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2A3CC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2A3CC2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3CC2" w:rsidRDefault="002A3CC2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2A3CC2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3CC2" w:rsidRDefault="002A3CC2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124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предпринимательский, научно- исследовательский</w:t>
            </w:r>
          </w:p>
        </w:tc>
      </w:tr>
      <w:tr w:rsidR="002A3CC2">
        <w:trPr>
          <w:trHeight w:hRule="exact" w:val="848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1643"/>
        </w:trPr>
        <w:tc>
          <w:tcPr>
            <w:tcW w:w="143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1419" w:type="dxa"/>
          </w:tcPr>
          <w:p w:rsidR="002A3CC2" w:rsidRDefault="002A3CC2"/>
        </w:tc>
        <w:tc>
          <w:tcPr>
            <w:tcW w:w="851" w:type="dxa"/>
          </w:tcPr>
          <w:p w:rsidR="002A3CC2" w:rsidRDefault="002A3CC2"/>
        </w:tc>
        <w:tc>
          <w:tcPr>
            <w:tcW w:w="285" w:type="dxa"/>
          </w:tcPr>
          <w:p w:rsidR="002A3CC2" w:rsidRDefault="002A3CC2"/>
        </w:tc>
        <w:tc>
          <w:tcPr>
            <w:tcW w:w="1277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  <w:tc>
          <w:tcPr>
            <w:tcW w:w="2836" w:type="dxa"/>
          </w:tcPr>
          <w:p w:rsidR="002A3CC2" w:rsidRDefault="002A3CC2"/>
        </w:tc>
      </w:tr>
      <w:tr w:rsidR="002A3CC2">
        <w:trPr>
          <w:trHeight w:hRule="exact" w:val="277"/>
        </w:trPr>
        <w:tc>
          <w:tcPr>
            <w:tcW w:w="143" w:type="dxa"/>
          </w:tcPr>
          <w:p w:rsidR="002A3CC2" w:rsidRDefault="002A3CC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A3CC2">
        <w:trPr>
          <w:trHeight w:hRule="exact" w:val="138"/>
        </w:trPr>
        <w:tc>
          <w:tcPr>
            <w:tcW w:w="143" w:type="dxa"/>
          </w:tcPr>
          <w:p w:rsidR="002A3CC2" w:rsidRDefault="002A3CC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1666"/>
        </w:trPr>
        <w:tc>
          <w:tcPr>
            <w:tcW w:w="143" w:type="dxa"/>
          </w:tcPr>
          <w:p w:rsidR="002A3CC2" w:rsidRDefault="002A3CC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2A3CC2" w:rsidRDefault="002A3C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  <w:p w:rsidR="002A3CC2" w:rsidRDefault="002A3C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A3CC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A3CC2" w:rsidRDefault="002A3CC2">
            <w:pPr>
              <w:spacing w:after="0" w:line="240" w:lineRule="auto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/Малышенко Геннадий Иванович/</w:t>
            </w:r>
          </w:p>
          <w:p w:rsidR="002A3CC2" w:rsidRDefault="002A3CC2">
            <w:pPr>
              <w:spacing w:after="0" w:line="240" w:lineRule="auto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A3CC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 _________________ /Сергиенко О.В./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A3CC2">
        <w:trPr>
          <w:trHeight w:hRule="exact" w:val="555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работу обучающихся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 по дисциплине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-технической базы, необходимой для осуществления образовательного процесса по дисциплине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A3CC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29.12.2012 № 273-ФЗ «Об образовании в Российской Федерации»;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38.04.02 Менеджмент,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(далее - ФГОС ВО, Федеральный государственный образовательный стандарт высшего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разования);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.02.2022 № 23;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ректора от 28.02.2022 № 23;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енным приказом ректора от 28.02.2022 № 23;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38.04.02 Менеджмент направленность (профиль) программы: «Риск-менеджмент, страте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гическое и тактическое планирование организации»; форма обучения – заочная на 2022/2023 учебный год, утвержденным приказом ректора от 28.03.2022 №28;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рабочей программы дисциплины «Интегрированный риск-менеджмент» в течение 2022/2023 учебного года: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овки 38.04.02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азовательного процесса.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К.М.01.02 «Интегрированный риск-менеджмент».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A3CC2">
        <w:trPr>
          <w:trHeight w:hRule="exact" w:val="139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38.04.02 Менеджмент, утвержденного Приказом Министерства образования и науки РФ от 12.08.2020 г. № 952 «Об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ерждении федерального государственного образовательного стандарта высшего образования - магистратура по направлению подготовки 38.04.02 Менеджмент» при разработке основной профессиональной образовательной программы (далее - ОПОП) магистратуры определены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зможности Академии в формировании компетенций выпускников соотнесенные с индикаторами достижения компетенций.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«Интегрированный риск-менеджмент» направлен на формирование у обучающегося компетенций и запланированных результатов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бучения, соотнесенных с индикаторами достижения компетенций:</w:t>
            </w:r>
          </w:p>
        </w:tc>
      </w:tr>
      <w:tr w:rsidR="002A3CC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планированию,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ескими целями организации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>
            <w:pPr>
              <w:spacing w:after="0" w:line="240" w:lineRule="auto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знать  стратегические и оперативные цели и задачи системы управления рисками в организации, стратегии, методы управления рисками и варианты их применения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ПК-1.8 знать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и внешний контекст функционирования организации; внешний и внутренний контекст процесса управления рисками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ПК-1.9 знать  принципы теории управления изменениями, принципы построения систем управления рисками;  элементы системы управления рисками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взаимосвязь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знать  полномочия и обязательства менеджмента по реализации плана управления рисками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знать  компоненты системы управления рисками и их взаимосвязь; этапы разработки систем управления рисками</w:t>
            </w:r>
          </w:p>
        </w:tc>
      </w:tr>
      <w:tr w:rsidR="002A3C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уметь  устанавливать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поддерживать деловые контакты, связи, отношения с сотрудниками организации и заинтересованными сторонами по вопросам управления рисками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ПК-1.18 уметь вырабатывать рекомендации по принятию решений в сфере управления рисками,  формулировать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в рамках подразделения</w:t>
            </w:r>
          </w:p>
        </w:tc>
      </w:tr>
      <w:tr w:rsidR="002A3CC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ПК-1.20 уметь описывать бизнес-процессы с учетом рисков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ПК-1.21 уметь применять термины и принципы рискменеджмента, стратегии, методы управления рисками и варианты их применения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ПК-1.22 уметь внедрять системы управления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сками на уровне организации, подразделения</w:t>
            </w:r>
          </w:p>
        </w:tc>
      </w:tr>
      <w:tr w:rsidR="002A3CC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ПК-1.25 уметь выявлять внешний и внутренний контекст функционирования организации, анализировать актуальные данные по системе управления рисками, лучшие практики построения системы управления рисками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и мире, тенденции риск- менеджмента</w:t>
            </w:r>
          </w:p>
        </w:tc>
      </w:tr>
      <w:tr w:rsidR="002A3CC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ПК-1.33 владеть навыками  реализации плана построения системы управления рисками</w:t>
            </w:r>
          </w:p>
        </w:tc>
      </w:tr>
      <w:tr w:rsidR="002A3C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ПК-1.39 владеть навыками менеджмента по реализации плана управления рисками, обеспечения соответствия системы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 внешним требованиям и лучшим практикам</w:t>
            </w:r>
          </w:p>
        </w:tc>
      </w:tr>
      <w:tr w:rsidR="002A3CC2">
        <w:trPr>
          <w:trHeight w:hRule="exact" w:val="416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A3CC2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К.М.01.02 «Интегрированный риск-менеджмент»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"Планирование, координирование и нормативное обеспечение интегрированной комплексной деятельности подразделений по управлению рисками организации" основной профессиональной образовательной программы высшего образования - магис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тратура по направлению подготовки 38.04.02 Менеджмент.</w:t>
            </w:r>
          </w:p>
        </w:tc>
      </w:tr>
      <w:tr w:rsidR="002A3CC2">
        <w:trPr>
          <w:trHeight w:hRule="exact" w:val="138"/>
        </w:trPr>
        <w:tc>
          <w:tcPr>
            <w:tcW w:w="3970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426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3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</w:tr>
      <w:tr w:rsidR="002A3CC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A3CC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2A3CC2"/>
        </w:tc>
      </w:tr>
      <w:tr w:rsidR="002A3CC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2A3CC2"/>
        </w:tc>
      </w:tr>
      <w:tr w:rsidR="002A3CC2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"Планирование, координирование и нормативное обеспечение интегрированной комплексной деятельности подразделений по управлению рисками организации"</w:t>
            </w:r>
          </w:p>
          <w:p w:rsidR="002A3CC2" w:rsidRDefault="00672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Правовые основы управления рисками организации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</w:rPr>
              <w:t>"Планирование, координирование и нормативное обеспечение интегрированной комплексной деятельности подразделений по управлению рисками организации"</w:t>
            </w:r>
          </w:p>
          <w:p w:rsidR="002A3CC2" w:rsidRDefault="00672B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Правовые основы управления рисками организации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2A3CC2">
        <w:trPr>
          <w:trHeight w:hRule="exact" w:val="138"/>
        </w:trPr>
        <w:tc>
          <w:tcPr>
            <w:tcW w:w="3970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426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3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</w:tr>
      <w:tr w:rsidR="002A3CC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A3CC2">
        <w:trPr>
          <w:trHeight w:hRule="exact" w:val="138"/>
        </w:trPr>
        <w:tc>
          <w:tcPr>
            <w:tcW w:w="3970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426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3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3CC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2A3CC2">
        <w:trPr>
          <w:trHeight w:hRule="exact" w:val="138"/>
        </w:trPr>
        <w:tc>
          <w:tcPr>
            <w:tcW w:w="3970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426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3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</w:tr>
      <w:tr w:rsidR="002A3CC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2A3CC2" w:rsidRDefault="002A3C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A3CC2">
        <w:trPr>
          <w:trHeight w:hRule="exact" w:val="416"/>
        </w:trPr>
        <w:tc>
          <w:tcPr>
            <w:tcW w:w="3970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1702" w:type="dxa"/>
          </w:tcPr>
          <w:p w:rsidR="002A3CC2" w:rsidRDefault="002A3CC2"/>
        </w:tc>
        <w:tc>
          <w:tcPr>
            <w:tcW w:w="426" w:type="dxa"/>
          </w:tcPr>
          <w:p w:rsidR="002A3CC2" w:rsidRDefault="002A3CC2"/>
        </w:tc>
        <w:tc>
          <w:tcPr>
            <w:tcW w:w="710" w:type="dxa"/>
          </w:tcPr>
          <w:p w:rsidR="002A3CC2" w:rsidRDefault="002A3CC2"/>
        </w:tc>
        <w:tc>
          <w:tcPr>
            <w:tcW w:w="143" w:type="dxa"/>
          </w:tcPr>
          <w:p w:rsidR="002A3CC2" w:rsidRDefault="002A3CC2"/>
        </w:tc>
        <w:tc>
          <w:tcPr>
            <w:tcW w:w="993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A3CC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3CC2" w:rsidRDefault="002A3C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3CC2" w:rsidRDefault="002A3CC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3CC2" w:rsidRDefault="002A3CC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концепции интегрированного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количественные методы измерения и моделирования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кредитных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риски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концепции интегрированного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A3CC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количественные методы измерения и моделирования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кредитных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риски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концепции интегрированного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3CC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методы измерения и моделирования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кредитных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риски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A3CC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3CC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рисками / Воронцовский А. В.. - 2-е изд. - Москва: Юрайт, 2020.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485 с . - ISBN: 978-5-534- 12206-0. - URL: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https://urait.ru/bcode/450664</w:t>
              </w:r>
            </w:hyperlink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3CC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A3CC2">
        <w:trPr>
          <w:trHeight w:hRule="exact" w:val="1037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ограниченными возможностями здоровья и инвалидов: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 в Федеральный закон «Об образовании в Российской Федерации»: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бакалавриата, программам специалитета, программам магис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>
            <w:pPr>
              <w:spacing w:after="0" w:line="240" w:lineRule="auto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A3CC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A3CC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концепции интегрированного управления рисками</w:t>
            </w:r>
          </w:p>
        </w:tc>
      </w:tr>
      <w:tr w:rsidR="002A3CC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риск? Понятие риска и неопределенности. Принятие решений в условиях неопределенности. (risk tolerance, risk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aversion). Создание стоимости с использованием риск-менеджмента. Концепция интегрированного управления рисками COSO (ERM) и ее эволюция до наших дней. Законы Сарбанеса-Оксли и Додда-Франка. Рекомендации Базельского комитета. Стандартизация процесса управле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рисками. Стандарты ISO (ISO_IEC_GUIDE_73, ISO 9000; семейство стандартов ISO 31000; интегрированная система управления экологическими рисками и безопасностью персонала; стандарты информационной безопасности). Стандарты профессиональных ассоциаций (FERM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 ISDA, ISMA, GARP, PRMA). Процесс риск менеджмента в ERM. Типы рисков. Идентификация рисков и их источников. (подходы Top-Down; Bottom-Up).</w:t>
            </w:r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количественные методы измерения и моделирования рисков</w:t>
            </w:r>
          </w:p>
        </w:tc>
      </w:tr>
      <w:tr w:rsidR="002A3CC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оценки рисков.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и качественные методы оценки рисков. Карты и матрицы рисков. Стандартное отклонение как мера риска; концепция Value-at-Risk. Другие используемые метрики: Expected shortfall. Value-at-risk для портфеля, состоящего из нескольких активов. Стрес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с-тестирование и сценарный анализ. Прогноз денежного потока компании и анализ его чувствительности к изменениям рыночных факторов. Показатель Cash flow-at-risk.</w:t>
            </w:r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кредитных рисков</w:t>
            </w:r>
          </w:p>
        </w:tc>
      </w:tr>
      <w:tr w:rsidR="002A3CC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кредитных рисков. Концепция Credit-VAR. Понятия вероятности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дефолта, LGD, recovery rate. Кредитные рейтинги. Основные модели оценки кредитных рисков (KMV и другие). Понятие секъюритизации активов, инструменты секъюритизации активов.</w:t>
            </w:r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финансовыми рисками</w:t>
            </w:r>
          </w:p>
        </w:tc>
      </w:tr>
      <w:tr w:rsidR="002A3CC2">
        <w:trPr>
          <w:trHeight w:hRule="exact" w:val="4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Sales&amp;Trading десков в России. Принципы работы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зарубежных и локальных банков. Введение в управление рыночными рисками. Различия работы сейлз и трейдинга. Производные инструменты: ключевые понятия. Развитие рынка производных инструментов в России: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инструменты: форвард, фьючерс, опцион, своп;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-хеджирование денежного потока компании с помощью производных инструментов;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рынка производных инструментов в России.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валютными рисками: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форвардов;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опционов;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валютных форвардов и опционов при хеджировании рыночных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 MTM. Управление процентным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процентных свопов, валютно-процентных свопов, базисов;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нтных свопов;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-Базисные свопы, MTM свопы. Управление кредитным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характеристики управления кредитным риском: VaR / CVA;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-Концепция Wrong-way risk и Right-way risk;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 и применение CVA.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Кредитные деривативы: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-Принципы работы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принципы рынка CDS.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работы Sales&amp;Trading десков в России. Принципы работы зарубежных и локальных банков. Введение в управление рыночными рисками. Различия работы сейлз и трейдинга. Производные инструменты: ключев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понятия. Развитие рынка производных инструментов в России: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-производные инструменты: форвард, фьючерс, опцион, своп;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-хеджирование денежного потока компании с помощью производных инструментов;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рынка производных инструментов в России.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валютными рисками: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форвардов;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опционов;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валютных форвардов и опционов при хеджировании рыночных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 MTM. Управление процентным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характеристики процентных свопов,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валютно-процентных свопов, базисов;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процентных свопов;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-Базисные свопы, MTM свопы. Управление кредитным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характеристики управления кредитным риском: VaR / CVA;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-Концепция Wrong-way risk и Right-way risk;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-Расчет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CVA.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Кредитные деривативы: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-Принципы работы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принципы рынка CDS.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работы Sales&amp;Trading десков в России. Принципы работы зарубежных и локальных банков. Введение в управление рыночными рисками.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работы сейлз и трейдинга. Производные инструменты: ключевые понятия. Развитие рынка производных инструментов в России: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-производные инструменты: форвард, фьючерс, опцион, своп;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-хеджирование денежного потока компании с помощью производных инструме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рынка производных инструментов в России.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валютными рисками: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форвардов;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опционов;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валютных форвардов и опционов при хеджировании рыночных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-расчет MTM.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процентным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процентных свопов, валютно-процентных свопов, базисов;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-Ценообразование процентных свопов;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-Базисные свопы, MTM свопы. Управление кредитным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-Основные характеристики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кредитным риском: VaR / CVA;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-Концепция Wrong-way risk и Right-way risk;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 и применение CVA.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Кредитные деривативы: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-Принципы работы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принципы рынка CDS.</w:t>
            </w:r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Операционные риски</w:t>
            </w:r>
          </w:p>
        </w:tc>
      </w:tr>
      <w:tr w:rsidR="002A3CC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операционных рисков. Классиф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икация операционных рисков. Основные типы операционных рисков. Особенности идентификации источников операционных рисков. Инструмент «галстук-бабочка» для идентификации операционных рисков. Оценка операционных рисков Метод FMEA как инструмент качественной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ценки операционных рисков. Информационная безопасность и IT-риски. Система управления ИТ-рисками. Мониторинг операционных рисков. Проектирование базы данных рисковых событий. Аудит операционных рисков. Управление операционными рисками. Основные инструменты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снижения операционных рисков.</w:t>
            </w:r>
          </w:p>
        </w:tc>
      </w:tr>
      <w:tr w:rsidR="002A3CC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A3CC2">
        <w:trPr>
          <w:trHeight w:hRule="exact" w:val="14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концепции интегрированного управления рисками</w:t>
            </w:r>
          </w:p>
        </w:tc>
      </w:tr>
      <w:tr w:rsidR="002A3CC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риск? Понятие риска и неопределенности. Принятие решений в условиях неопределенности. (risk tolerance, risk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aversion). Создание стоимости с использованием риск-менеджмента. Концепция интегрированного управления рисками COSO (ERM) и ее эволюция до наших дней. Законы Сарбанеса-Оксли и Додда-Франка. Рекомендации Базельского комитета. Стандартизация процесса управле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рисками. Стандарты ISO (ISO_IEC_GUIDE_73, ISO 9000; семейство стандартов ISO 31000; интегрированная система управления экологическими рисками и безопасностью персонала; стандарты информационной безопасности). Стандарты профессиональных ассоциаций (FERM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 ISDA, ISMA, GARP, PRMA). Процесс риск менеджмента в ERM. Типы рисков. Идентификация рисков и их источников. (подходы Top-Down; Bottom-Up).</w:t>
            </w:r>
          </w:p>
        </w:tc>
      </w:tr>
      <w:tr w:rsidR="002A3CC2">
        <w:trPr>
          <w:trHeight w:hRule="exact" w:val="14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количественные методы измерения и моделирования рисков</w:t>
            </w:r>
          </w:p>
        </w:tc>
      </w:tr>
      <w:tr w:rsidR="002A3CC2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управления рисками по мере роста вола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тильности бизнес-окружения. Причины появления интегрированных систем управления рисками. Основные элементы процесса управления рисками в интегрированных системах: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-идентификация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-контроль за реализацией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-мониторинг и принятие решений.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Лучшие практики управления рисками в версии СOSO ERM 2017 года: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-усиление связи управления рисками и стратегического управления;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-связь управления рисками с внутренним контролем и внутренним аудитом;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систем мотивац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риск культуры;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-понятие аппетита к риску и его оценка для нефинансовых компаний.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Риск-контроллинг: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-риск-контроллинг как новый этап эволюционного развития интегрированных систем управления рисками;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-система показателей риск-контроллинга (ключевых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каторов рисков - KRI). Связь KRI и KPI;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-риск-ориентированное планирование в системах риск-контроллинга;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-виды контрольных процедур. Их достоинства и недостатки;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-информационная система риск-контроллинга;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-«американский» подход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риск-контроллингу. «Интеллектуальный» риск-менеджмент. Оценка уровней зрелости интегрированных систем риск-менеджмента.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интегрированных систем управления рисками в органах государственной власти.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Оценка кредитных рисков</w:t>
            </w:r>
          </w:p>
        </w:tc>
      </w:tr>
      <w:tr w:rsidR="002A3CC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кредитных рисков. Концепция Credit-VAR. Понятия вероятности дефолта, LGD, recovery rate. Кредитные рейтинги. Основные модели оценки кредитных рисков (KMV и другие). Понятие секъюритизации активов, инструменты секъюритизации активов.</w:t>
            </w:r>
          </w:p>
        </w:tc>
      </w:tr>
      <w:tr w:rsidR="002A3CC2">
        <w:trPr>
          <w:trHeight w:hRule="exact" w:val="14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финансовы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 рисками</w:t>
            </w:r>
          </w:p>
        </w:tc>
      </w:tr>
      <w:tr w:rsidR="002A3CC2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работы Sales&amp;Trading десков в России. Принципы работы зарубежных и локальных банков. Введение в управление рыночными рисками. Различия работы сейлз и трейдинга. Производные инструменты: ключевые понятия. Развитие рынка произво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дных инструментов в России: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-производные инструменты: форвард, фьючерс, опцион, своп;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-хеджирование денежного потока компании с помощью производных инструментов;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рынка производных инструментов в России.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валютными рисками: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форвардов;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валютных опционов;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-применение валютных форвардов и опционов при хеджировании рыночных рисков;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 MTM. Управление процентным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процентных свопов, валютно-процентных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опов, базисов;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процентных свопов;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-Базисные свопы, MTM свопы. Управление кредитным риском: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характеристики управления кредитным риском: VaR / CVA;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-Концепция Wrong-way risk и Right-way risk;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-Расчет и применение CVA.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Кредитные 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ивативы: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-Принципы работы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-Ценообразование CDS: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принципы рынка CDS.</w:t>
            </w:r>
          </w:p>
        </w:tc>
      </w:tr>
      <w:tr w:rsidR="002A3CC2">
        <w:trPr>
          <w:trHeight w:hRule="exact" w:val="14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Операционные риски</w:t>
            </w:r>
          </w:p>
        </w:tc>
      </w:tr>
      <w:tr w:rsidR="002A3CC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операционных рисков. Классификация операционных рисков. Основные типы операционных рисков. Особенности идентификации источников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 рисков. Инструмент «галстук-бабочка» для идентификации операционных рисков. Оценка операционных рисков Метод FMEA как инструмент качественной оценки операционных рисков. Информационная безопасность и IT-риски. Система управления ИТ-рисками.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ниторинг операционных рисков. Проектирование базы данных рисковых событий. Аудит операционных рисков. Управление операционными рисками. Основные инструменты снижения операционных рисков.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A3CC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>
            <w:pPr>
              <w:spacing w:after="0" w:line="240" w:lineRule="auto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 обучающихся по дисциплине</w:t>
            </w:r>
          </w:p>
        </w:tc>
      </w:tr>
      <w:tr w:rsidR="002A3CC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«Интегрированный риск-менеджмент» / Малышенко Геннадий Иванович. – Омск: Изд-во Омской гуманитарной академии, 2022.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28.08.2017 (протокол заседания № 1), утвержденное приказом ректора от 28.08.2017 №37.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Студенческого совета ОмГА от 29.08.2016 (протокол заседания № 1), утвержденное приказом ректора от 01.09.2016 № 43в.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28.08.2017 №37.</w:t>
            </w:r>
          </w:p>
        </w:tc>
      </w:tr>
      <w:tr w:rsidR="002A3CC2">
        <w:trPr>
          <w:trHeight w:hRule="exact" w:val="138"/>
        </w:trPr>
        <w:tc>
          <w:tcPr>
            <w:tcW w:w="285" w:type="dxa"/>
          </w:tcPr>
          <w:p w:rsidR="002A3CC2" w:rsidRDefault="002A3CC2"/>
        </w:tc>
        <w:tc>
          <w:tcPr>
            <w:tcW w:w="9356" w:type="dxa"/>
          </w:tcPr>
          <w:p w:rsidR="002A3CC2" w:rsidRDefault="002A3CC2"/>
        </w:tc>
      </w:tr>
      <w:tr w:rsidR="002A3CC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A3C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978-5-534-05843-7.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https://urait.ru/bcode/454911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978-5-534-12206-0.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https://urait.ru/bcode/450664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https://urait.ru/bcode/450164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277"/>
        </w:trPr>
        <w:tc>
          <w:tcPr>
            <w:tcW w:w="285" w:type="dxa"/>
          </w:tcPr>
          <w:p w:rsidR="002A3CC2" w:rsidRDefault="002A3CC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A3CC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Барбаумов,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Шпрингель,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Голембиовский,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Альпина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978-5-9614-0824-9.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http://www.iprbookshop.ru/96867.html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2A3CC2"/>
        </w:tc>
      </w:tr>
      <w:tr w:rsidR="002A3C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978-5-534-02606-1.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https://urait.ru/bcode/451702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(ИНТУИТ),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978-5-4497-0300-2.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http://www.iprbookshop.ru/89416.html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978-5-534-02609-2.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https://urait.ru/bcode/451704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978-5-534-11408-9.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https://urait.ru/bcode/457080</w:t>
              </w:r>
            </w:hyperlink>
            <w:r>
              <w:t xml:space="preserve"> 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A3CC2">
        <w:trPr>
          <w:trHeight w:hRule="exact" w:val="3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Оксфордского университета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A3CC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2A3CC2">
        <w:trPr>
          <w:trHeight w:hRule="exact" w:val="5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бной дисциплины и качественного его усвоения рекомендуется такая последовательность действий: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сегодня, разобрать рассмотренные примеры;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8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дисциплине в библиотеке и для решения задач;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методические указания и материалы по учебной дисциплине, текст лекций, а также электронные пособия.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материала всегда полезно выписывать формулы и графики.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попробовать решить аналогичную задачу самостоятельно.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A3CC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A3CC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2A3CC2" w:rsidRDefault="002A3C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2A3CC2" w:rsidRDefault="002A3C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справочные системы:</w:t>
            </w:r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2A3C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2A3C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2A3C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2A3CC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для рассылки информации, переписки и обсуждения учебных вопросов.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2A3CC2">
        <w:trPr>
          <w:trHeight w:hRule="exact" w:val="277"/>
        </w:trPr>
        <w:tc>
          <w:tcPr>
            <w:tcW w:w="9640" w:type="dxa"/>
          </w:tcPr>
          <w:p w:rsidR="002A3CC2" w:rsidRDefault="002A3CC2"/>
        </w:tc>
      </w:tr>
      <w:tr w:rsidR="002A3C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исциплине</w:t>
            </w:r>
          </w:p>
        </w:tc>
      </w:tr>
      <w:tr w:rsidR="002A3CC2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 и научно-исследовательской работ обучающихся, предусмотренных рабочей программой дисциплины.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оизводственная, д. 41/1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стол, микше, микрофон, аудио-видео усилитель, ноутбук, Операционная система Microsoft Windows 10,  Microsoft Office Professional Plus 2007;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библиотечная система «ЭБС ЮРАЙТ»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A3CC2" w:rsidRDefault="00672B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2A3CC2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XP, Microsoft Office Professional Plus 2007, LibreOf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2A3CC2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2A3CC2">
        <w:trPr>
          <w:trHeight w:hRule="exact" w:val="12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Microsoft Windows XP,  Microsoft Office Professional Plus 2007, LibreOffice, Kaspersky Endpoint Security для бизнеса – Стандартный, Система контент</w:t>
            </w:r>
          </w:p>
        </w:tc>
      </w:tr>
    </w:tbl>
    <w:p w:rsidR="002A3CC2" w:rsidRDefault="00672B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3CC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фильтрации SkyDNS, справочно-правовая система «Консультант плюс», «Гарант», Электронно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библиотечная система IPRbooks, Электронно библиотечная система "ЭБС ЮРАЙТ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2A3CC2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3CC2" w:rsidRDefault="00672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Для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 занятий имеется: 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видеокамера, компьютер, Линко V8.2, Операционная система Microsoft Windows XP,  Microsoft Office Professional Plus 2007, LibreOffice Writer,  LibreOffice Calc,  LibreOffice Impress,  LibreOffice Draw,  LibreOffice Math,  LibreOffice Base, Линко V8.2, 1С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:Предпр.8.Комплект для обучения в высших и средних учебных заведениях, NetBeans, RunaWFE, Moodle, BigBlueButton, Kaspersky Endpoint Security для бизнеса – Стандартный, Система контент фильтрации SkyDNS, справочно-правовая система «Консультант плюс», «Гаран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т», Электронно библиотечная система IPRbooks, Электронно библиотечная система "ЭБС ЮРАЙТ</w:t>
            </w:r>
          </w:p>
        </w:tc>
      </w:tr>
    </w:tbl>
    <w:p w:rsidR="002A3CC2" w:rsidRDefault="002A3CC2"/>
    <w:sectPr w:rsidR="002A3CC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A3CC2"/>
    <w:rsid w:val="00672B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B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50164" TargetMode="External"/><Relationship Id="rId12" Type="http://schemas.openxmlformats.org/officeDocument/2006/relationships/hyperlink" Target="https://urait.ru/bcode/457080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664" TargetMode="External"/><Relationship Id="rId11" Type="http://schemas.openxmlformats.org/officeDocument/2006/relationships/hyperlink" Target="https://urait.ru/bcode/451704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edu.garant.ru/omga/" TargetMode="External"/><Relationship Id="rId37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54911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president.kremlin.ru" TargetMode="External"/><Relationship Id="rId36" Type="http://schemas.openxmlformats.org/officeDocument/2006/relationships/hyperlink" Target="http://www.biblio-online.ru," TargetMode="External"/><Relationship Id="rId10" Type="http://schemas.openxmlformats.org/officeDocument/2006/relationships/hyperlink" Target="http://www.iprbookshop.ru/89416.html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pravo.gov.ru" TargetMode="External"/><Relationship Id="rId4" Type="http://schemas.openxmlformats.org/officeDocument/2006/relationships/hyperlink" Target="https://urait.ru/bcode/450664" TargetMode="External"/><Relationship Id="rId9" Type="http://schemas.openxmlformats.org/officeDocument/2006/relationships/hyperlink" Target="https://urait.ru/bcode/451702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fgosvo.ru" TargetMode="External"/><Relationship Id="rId35" Type="http://schemas.openxmlformats.org/officeDocument/2006/relationships/hyperlink" Target="http://www.biblio-online.ru.," TargetMode="External"/><Relationship Id="rId8" Type="http://schemas.openxmlformats.org/officeDocument/2006/relationships/hyperlink" Target="http://www.iprbookshop.ru/96867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7607</Words>
  <Characters>43360</Characters>
  <Application>Microsoft Office Word</Application>
  <DocSecurity>0</DocSecurity>
  <Lines>361</Lines>
  <Paragraphs>101</Paragraphs>
  <ScaleCrop>false</ScaleCrop>
  <Company/>
  <LinksUpToDate>false</LinksUpToDate>
  <CharactersWithSpaces>50866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2022-2023_ФГОС3++2022_Маг-ЗФО-Менеджмент(РМСиТПО)(22)_plx_Интегрированный риск-менеджмент</dc:title>
  <dc:creator>FastReport.NET</dc:creator>
  <cp:lastModifiedBy>Mark Bernstorf</cp:lastModifiedBy>
  <cp:revision>2</cp:revision>
  <dcterms:created xsi:type="dcterms:W3CDTF">2022-11-13T21:49:00Z</dcterms:created>
  <dcterms:modified xsi:type="dcterms:W3CDTF">2022-11-13T21:49:00Z</dcterms:modified>
</cp:coreProperties>
</file>